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2A" w:rsidRPr="00862E6B" w:rsidRDefault="00422C2A" w:rsidP="00422C2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62E6B">
        <w:rPr>
          <w:rFonts w:ascii="Times New Roman" w:hAnsi="Times New Roman" w:cs="Times New Roman"/>
          <w:b/>
          <w:bCs/>
          <w:sz w:val="24"/>
          <w:szCs w:val="24"/>
        </w:rPr>
        <w:t>CSK 2210: COMMUNICATION DESIGN AND DEVELOPMENT (Core)</w:t>
      </w:r>
    </w:p>
    <w:p w:rsidR="00422C2A" w:rsidRPr="00862E6B" w:rsidRDefault="00422C2A" w:rsidP="00422C2A">
      <w:pPr>
        <w:jc w:val="both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This course enables students to get a firm grip on the theory and practice of communication design. It also gets them to look beyond aesthetic concerns and develop an integrated, multidimensional understanding of this ever-changing field. Students learn how to approach design problems in a methodical, professional manner; how the human mind interprets visual and verbal messages; how technology choices impact the design process; how design is used in the service of information and persuasion; and what it means to design for non-commercial advertising and political propaganda. Complete with practical examples, case studies, and cutting-edge research, this course creates an understanding of integrated, contemporary communication design.</w:t>
      </w:r>
    </w:p>
    <w:p w:rsidR="00422C2A" w:rsidRPr="00862E6B" w:rsidRDefault="00422C2A" w:rsidP="00422C2A">
      <w:pPr>
        <w:jc w:val="both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This course enables students to get a firm grip on the theory and practice of communication design. It also gets them to look beyond aesthetic concerns and develop an integrated, multidimensional understanding of this ever-changing field. Students learn how to approach design problems in a methodical, professional manner; how the human mind interprets visual and verbal messages; how technology choices impact the design process; how design is used in the service of information and persuasion; and what it means to design for non-commercial advertising and political propaganda. Complete with practical examples, case studies, and cutting-edge research, this course creates an understanding of integrated, contemporary communication design.</w:t>
      </w:r>
    </w:p>
    <w:bookmarkEnd w:id="0"/>
    <w:p w:rsidR="00EA47A0" w:rsidRDefault="00EA47A0"/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2A"/>
    <w:rsid w:val="00422C2A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5F7B7-9F28-4C5E-9335-45A96E16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2A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1</cp:revision>
  <dcterms:created xsi:type="dcterms:W3CDTF">2017-09-18T16:43:00Z</dcterms:created>
  <dcterms:modified xsi:type="dcterms:W3CDTF">2017-09-18T16:44:00Z</dcterms:modified>
</cp:coreProperties>
</file>